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DFA" w:rsidRPr="008E7CFC" w:rsidRDefault="00327DFA" w:rsidP="00327DFA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>
        <w:rPr>
          <w:b/>
          <w:sz w:val="28"/>
          <w:lang w:val="sr-Cyrl-R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327DFA" w:rsidRPr="002E1CCA" w:rsidRDefault="00327DFA" w:rsidP="00327DFA">
      <w:pPr>
        <w:pStyle w:val="FootnoteText"/>
        <w:spacing w:line="240" w:lineRule="auto"/>
        <w:rPr>
          <w:lang w:val="sr-Latn-R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t xml:space="preserve">1. </w:t>
      </w:r>
      <w:r w:rsidR="008309D6">
        <w:rPr>
          <w:lang w:val="sr-Cyrl-CS"/>
        </w:rPr>
        <w:t>Овлашћени предлагач</w:t>
      </w:r>
      <w:r w:rsidRPr="0081718F">
        <w:rPr>
          <w:lang w:val="sr-Cyrl-CS"/>
        </w:rPr>
        <w:t xml:space="preserve"> прописа</w:t>
      </w:r>
      <w:r>
        <w:rPr>
          <w:lang w:val="sr-Cyrl-CS"/>
        </w:rPr>
        <w:t>:</w:t>
      </w:r>
      <w:r w:rsidR="008309D6">
        <w:rPr>
          <w:lang w:val="sr-Cyrl-CS"/>
        </w:rPr>
        <w:t xml:space="preserve"> Влада</w:t>
      </w:r>
      <w:r>
        <w:rPr>
          <w:lang w:val="sr-Cyrl-CS"/>
        </w:rPr>
        <w:t xml:space="preserve"> </w:t>
      </w:r>
    </w:p>
    <w:p w:rsidR="00327DFA" w:rsidRPr="0081718F" w:rsidRDefault="008309D6" w:rsidP="00327DFA">
      <w:pPr>
        <w:jc w:val="both"/>
        <w:rPr>
          <w:lang w:val="sr-Cyrl-CS"/>
        </w:rPr>
      </w:pPr>
      <w:r>
        <w:rPr>
          <w:lang w:val="sr-Cyrl-CS"/>
        </w:rPr>
        <w:t xml:space="preserve">Обрађивач: </w:t>
      </w:r>
      <w:r w:rsidR="00327DFA">
        <w:rPr>
          <w:lang w:val="sr-Cyrl-CS"/>
        </w:rPr>
        <w:t>Министарство спољних послова</w:t>
      </w:r>
      <w:r w:rsidR="00327DFA" w:rsidRPr="0081718F">
        <w:rPr>
          <w:lang w:val="sr-Cyrl-CS"/>
        </w:rPr>
        <w:t xml:space="preserve"> </w:t>
      </w:r>
    </w:p>
    <w:p w:rsidR="00327DFA" w:rsidRPr="0081718F" w:rsidRDefault="00327DFA" w:rsidP="00327DFA">
      <w:pPr>
        <w:jc w:val="both"/>
      </w:pPr>
    </w:p>
    <w:p w:rsidR="00327DFA" w:rsidRPr="0081718F" w:rsidRDefault="00327DFA" w:rsidP="00327DFA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</w:p>
    <w:p w:rsidR="00665AB0" w:rsidRDefault="008309D6" w:rsidP="00327DFA">
      <w:pPr>
        <w:jc w:val="both"/>
        <w:rPr>
          <w:lang w:val="sr-Cyrl-CS"/>
        </w:rPr>
      </w:pPr>
      <w:r>
        <w:rPr>
          <w:lang w:val="sr-Cyrl-CS"/>
        </w:rPr>
        <w:t>Предлог з</w:t>
      </w:r>
      <w:r w:rsidR="00665AB0">
        <w:rPr>
          <w:lang w:val="sr-Cyrl-CS"/>
        </w:rPr>
        <w:t>акон</w:t>
      </w:r>
      <w:r>
        <w:rPr>
          <w:lang w:val="sr-Cyrl-CS"/>
        </w:rPr>
        <w:t>а</w:t>
      </w:r>
      <w:r w:rsidR="00327DFA">
        <w:rPr>
          <w:lang w:val="sr-Cyrl-CS"/>
        </w:rPr>
        <w:t xml:space="preserve"> о учешћу цивила у мировним мисија</w:t>
      </w:r>
      <w:r w:rsidR="00665AB0">
        <w:rPr>
          <w:lang w:val="sr-Cyrl-CS"/>
        </w:rPr>
        <w:t>ма ван граница Републике Србије</w:t>
      </w:r>
    </w:p>
    <w:p w:rsidR="00327DFA" w:rsidRDefault="008309D6" w:rsidP="00327DFA">
      <w:pPr>
        <w:jc w:val="both"/>
        <w:rPr>
          <w:lang w:val="sr-Cyrl-CS"/>
        </w:rPr>
      </w:pPr>
      <w:r>
        <w:rPr>
          <w:lang w:val="sr-Latn-RS"/>
        </w:rPr>
        <w:t xml:space="preserve">Draft </w:t>
      </w:r>
      <w:r w:rsidR="00327DFA">
        <w:rPr>
          <w:lang w:val="en-US"/>
        </w:rPr>
        <w:t>Law on Civilian Participation in Peacekeeping Operations out of Borders of the Republic of Serbia</w:t>
      </w:r>
      <w:r w:rsidR="00327DFA">
        <w:rPr>
          <w:lang w:val="sr-Cyrl-CS"/>
        </w:rPr>
        <w:t xml:space="preserve"> 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Pr="0081718F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</w:p>
    <w:p w:rsidR="00327DFA" w:rsidRPr="006F2332" w:rsidRDefault="008F0F05" w:rsidP="00327DFA">
      <w:pPr>
        <w:jc w:val="both"/>
        <w:rPr>
          <w:lang w:val="sr-Cyrl-RS"/>
        </w:rPr>
      </w:pPr>
      <w:r>
        <w:rPr>
          <w:lang w:val="sr-Cyrl-CS"/>
        </w:rPr>
        <w:t>З</w:t>
      </w:r>
      <w:r w:rsidR="00327DFA">
        <w:rPr>
          <w:lang w:val="sr-Cyrl-CS"/>
        </w:rPr>
        <w:t xml:space="preserve">акон о учешћу цивила у мировним мисијама ван граница Републике Србије представља нову нормативну активност у складу са опредељењем двеју страна за унапређењем политичког дијалога, са циљевима дефинисаним у делу Споразума: Наслов </w:t>
      </w:r>
      <w:r w:rsidR="00327DFA">
        <w:rPr>
          <w:lang w:val="en-US"/>
        </w:rPr>
        <w:t xml:space="preserve">II </w:t>
      </w:r>
      <w:r w:rsidR="00327DFA">
        <w:rPr>
          <w:lang w:val="sr-Cyrl-RS"/>
        </w:rPr>
        <w:t>– Политички дијалог, члан 10, став 2, тачке б) и г)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</w:p>
    <w:p w:rsidR="00327DFA" w:rsidRDefault="00327DFA" w:rsidP="00327DFA">
      <w:pPr>
        <w:jc w:val="both"/>
        <w:rPr>
          <w:lang w:val="sr-Cyrl-CS"/>
        </w:rPr>
      </w:pPr>
      <w:r>
        <w:rPr>
          <w:lang w:val="sr-Cyrl-CS"/>
        </w:rPr>
        <w:t>Постепено усклађивање законодавства са правним тековинама Заједнице.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</w:p>
    <w:p w:rsidR="00327DFA" w:rsidRDefault="00327DFA" w:rsidP="00327DFA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</w:p>
    <w:p w:rsidR="00327DFA" w:rsidRDefault="00327DFA" w:rsidP="00327DFA">
      <w:pPr>
        <w:jc w:val="both"/>
        <w:rPr>
          <w:lang w:val="sr-Cyrl-CS"/>
        </w:rPr>
      </w:pPr>
      <w:r>
        <w:rPr>
          <w:lang w:val="sr-Cyrl-CS"/>
        </w:rPr>
        <w:t>/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Pr="0081718F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327DFA" w:rsidRDefault="008F0F05" w:rsidP="00327DFA">
      <w:pPr>
        <w:jc w:val="both"/>
        <w:rPr>
          <w:lang w:val="sr-Cyrl-RS"/>
        </w:rPr>
      </w:pPr>
      <w:r>
        <w:rPr>
          <w:lang w:val="sr-Cyrl-RS"/>
        </w:rPr>
        <w:t>3.31.5 Учешће у цивилним мисијама</w:t>
      </w:r>
    </w:p>
    <w:p w:rsidR="00327DFA" w:rsidRPr="001B6C72" w:rsidRDefault="00327DFA" w:rsidP="00327DFA">
      <w:pPr>
        <w:jc w:val="both"/>
        <w:rPr>
          <w:lang w:val="sr-Cyrl-RS"/>
        </w:rPr>
      </w:pPr>
    </w:p>
    <w:p w:rsidR="00327DFA" w:rsidRPr="0081718F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327DFA" w:rsidRPr="0081718F" w:rsidRDefault="00327DFA" w:rsidP="00327DFA">
      <w:pPr>
        <w:jc w:val="both"/>
      </w:pPr>
    </w:p>
    <w:p w:rsidR="00327DFA" w:rsidRDefault="00327DFA" w:rsidP="00327DFA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</w:p>
    <w:p w:rsidR="00327DFA" w:rsidRDefault="00327DFA" w:rsidP="00327DFA">
      <w:pPr>
        <w:jc w:val="both"/>
        <w:rPr>
          <w:lang w:val="sr-Cyrl-RS"/>
        </w:rPr>
      </w:pPr>
      <w:r>
        <w:rPr>
          <w:lang w:val="sr-Cyrl-RS"/>
        </w:rPr>
        <w:t xml:space="preserve">Уговор о ЕУ, Наслов </w:t>
      </w:r>
      <w:r>
        <w:rPr>
          <w:lang w:val="en-US"/>
        </w:rPr>
        <w:t>V</w:t>
      </w:r>
      <w:r>
        <w:rPr>
          <w:lang w:val="sr-Cyrl-RS"/>
        </w:rPr>
        <w:t>, Поглавље 2 (Посебне одредбе о Заједничкој спољној и безбедносној политици), Одељак 2 (Одредбе о Заједничкој безбедносној и одбрамбеној политици), чланови 42-44</w:t>
      </w:r>
    </w:p>
    <w:p w:rsidR="00327DFA" w:rsidRPr="006A4EB3" w:rsidRDefault="00327DFA" w:rsidP="00327DFA">
      <w:pPr>
        <w:jc w:val="both"/>
        <w:rPr>
          <w:lang w:val="sr-Latn-R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</w:p>
    <w:p w:rsidR="00327DFA" w:rsidRDefault="00327DFA" w:rsidP="00327DFA">
      <w:pPr>
        <w:jc w:val="both"/>
        <w:rPr>
          <w:lang w:val="sr-Cyrl-CS"/>
        </w:rPr>
      </w:pPr>
      <w:r>
        <w:rPr>
          <w:lang w:val="sr-Cyrl-CS"/>
        </w:rPr>
        <w:t>Не постоје.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</w:p>
    <w:p w:rsidR="00327DFA" w:rsidRDefault="00327DFA" w:rsidP="00327DFA">
      <w:pPr>
        <w:jc w:val="both"/>
        <w:rPr>
          <w:lang w:val="sr-Cyrl-CS"/>
        </w:rPr>
      </w:pPr>
      <w:r>
        <w:rPr>
          <w:lang w:val="sr-Cyrl-CS"/>
        </w:rPr>
        <w:t>Не постоје.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</w:p>
    <w:p w:rsidR="00327DFA" w:rsidRDefault="00327DFA" w:rsidP="00327DFA">
      <w:pPr>
        <w:jc w:val="both"/>
        <w:rPr>
          <w:lang w:val="sr-Cyrl-RS"/>
        </w:rPr>
      </w:pPr>
      <w:r>
        <w:rPr>
          <w:lang w:val="sr-Cyrl-RS"/>
        </w:rPr>
        <w:t>Не усклађује се.</w:t>
      </w:r>
    </w:p>
    <w:p w:rsidR="00327DFA" w:rsidRPr="0081718F" w:rsidRDefault="00327DFA" w:rsidP="00327DFA">
      <w:pPr>
        <w:jc w:val="both"/>
        <w:rPr>
          <w:lang w:val="sr-Cyrl-RS"/>
        </w:rPr>
      </w:pPr>
    </w:p>
    <w:p w:rsidR="00327DFA" w:rsidRDefault="00327DFA" w:rsidP="00327DFA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327DFA" w:rsidRPr="0081718F" w:rsidRDefault="008F0F05" w:rsidP="00327DFA">
      <w:pPr>
        <w:jc w:val="both"/>
        <w:rPr>
          <w:i/>
          <w:lang w:val="sr-Cyrl-CS"/>
        </w:rPr>
      </w:pPr>
      <w:r>
        <w:rPr>
          <w:lang w:val="sr-Cyrl-CS"/>
        </w:rPr>
        <w:t>/</w:t>
      </w:r>
    </w:p>
    <w:p w:rsidR="00327DFA" w:rsidRPr="0081718F" w:rsidRDefault="00327DFA" w:rsidP="00327DFA">
      <w:pPr>
        <w:jc w:val="both"/>
        <w:rPr>
          <w:i/>
          <w:lang w:val="sr-Cyrl-CS"/>
        </w:rPr>
      </w:pPr>
    </w:p>
    <w:p w:rsidR="00327DFA" w:rsidRDefault="00327DFA" w:rsidP="00327DFA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</w:p>
    <w:p w:rsidR="00327DFA" w:rsidRPr="0081718F" w:rsidRDefault="00327DFA" w:rsidP="00327DFA">
      <w:pPr>
        <w:jc w:val="both"/>
        <w:rPr>
          <w:color w:val="000000"/>
          <w:lang w:val="ru-RU"/>
        </w:rPr>
      </w:pPr>
      <w:r>
        <w:rPr>
          <w:color w:val="000000"/>
          <w:lang w:val="ru-RU"/>
        </w:rPr>
        <w:t>/</w:t>
      </w:r>
      <w:r w:rsidRPr="0081718F">
        <w:rPr>
          <w:color w:val="000000"/>
          <w:lang w:val="ru-RU"/>
        </w:rPr>
        <w:t xml:space="preserve">  </w:t>
      </w:r>
    </w:p>
    <w:p w:rsidR="00327DFA" w:rsidRPr="0081718F" w:rsidRDefault="00327DFA" w:rsidP="00327DFA">
      <w:pPr>
        <w:jc w:val="both"/>
        <w:rPr>
          <w:lang w:val="sr-Cyrl-CS"/>
        </w:rPr>
      </w:pPr>
    </w:p>
    <w:p w:rsidR="00327DFA" w:rsidRDefault="00327DFA" w:rsidP="00327DFA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327DFA" w:rsidRPr="00BC7140" w:rsidRDefault="00327DFA" w:rsidP="00327DFA">
      <w:pPr>
        <w:jc w:val="both"/>
        <w:rPr>
          <w:lang w:val="sr-Cyrl-RS"/>
        </w:rPr>
      </w:pPr>
      <w:r>
        <w:rPr>
          <w:lang w:val="sr-Cyrl-RS"/>
        </w:rPr>
        <w:t>Да, примарни извори права Европске уније су преведени на српски језик.</w:t>
      </w:r>
    </w:p>
    <w:p w:rsidR="00327DFA" w:rsidRPr="0081718F" w:rsidRDefault="00327DFA" w:rsidP="00327DFA">
      <w:pPr>
        <w:jc w:val="both"/>
      </w:pPr>
    </w:p>
    <w:p w:rsidR="00327DFA" w:rsidRDefault="00327DFA" w:rsidP="00327DFA">
      <w:pPr>
        <w:jc w:val="both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327DFA" w:rsidRPr="00BC7140" w:rsidRDefault="00327DFA" w:rsidP="00327DFA">
      <w:pPr>
        <w:jc w:val="both"/>
        <w:rPr>
          <w:lang w:val="sr-Cyrl-RS"/>
        </w:rPr>
      </w:pPr>
      <w:r>
        <w:rPr>
          <w:lang w:val="sr-Cyrl-RS"/>
        </w:rPr>
        <w:t>Не.</w:t>
      </w:r>
    </w:p>
    <w:p w:rsidR="00327DFA" w:rsidRPr="0081718F" w:rsidRDefault="00327DFA" w:rsidP="00327DFA">
      <w:pPr>
        <w:jc w:val="both"/>
      </w:pPr>
      <w:bookmarkStart w:id="0" w:name="_GoBack"/>
      <w:bookmarkEnd w:id="0"/>
    </w:p>
    <w:p w:rsidR="00327DFA" w:rsidRDefault="00327DFA" w:rsidP="00327DFA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327DFA" w:rsidRPr="00BC7140" w:rsidRDefault="00327DFA" w:rsidP="00327DFA">
      <w:pPr>
        <w:jc w:val="both"/>
        <w:rPr>
          <w:lang w:val="sr-Cyrl-RS"/>
        </w:rPr>
      </w:pPr>
      <w:r>
        <w:rPr>
          <w:lang w:val="sr-Cyrl-RS"/>
        </w:rPr>
        <w:t>Није било учешћа консултаната.</w:t>
      </w:r>
    </w:p>
    <w:p w:rsidR="00327DFA" w:rsidRPr="0081718F" w:rsidRDefault="00327DFA" w:rsidP="00327DFA">
      <w:pPr>
        <w:jc w:val="both"/>
      </w:pPr>
    </w:p>
    <w:sectPr w:rsidR="00327DFA" w:rsidRPr="0081718F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9A6" w:rsidRDefault="008F0F05">
      <w:r>
        <w:separator/>
      </w:r>
    </w:p>
  </w:endnote>
  <w:endnote w:type="continuationSeparator" w:id="0">
    <w:p w:rsidR="004029A6" w:rsidRDefault="008F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3D0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8309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3D01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09D6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8309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9A6" w:rsidRDefault="008F0F05">
      <w:r>
        <w:separator/>
      </w:r>
    </w:p>
  </w:footnote>
  <w:footnote w:type="continuationSeparator" w:id="0">
    <w:p w:rsidR="004029A6" w:rsidRDefault="008F0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FA"/>
    <w:rsid w:val="00327DFA"/>
    <w:rsid w:val="003D012D"/>
    <w:rsid w:val="004029A6"/>
    <w:rsid w:val="00665AB0"/>
    <w:rsid w:val="00714B6E"/>
    <w:rsid w:val="008309D6"/>
    <w:rsid w:val="008F0F05"/>
    <w:rsid w:val="0090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4E638"/>
  <w15:chartTrackingRefBased/>
  <w15:docId w15:val="{95116E71-9E47-49F4-AE4F-4537B682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27DF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327DF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327DFA"/>
  </w:style>
  <w:style w:type="paragraph" w:styleId="Footer">
    <w:name w:val="footer"/>
    <w:basedOn w:val="Normal"/>
    <w:link w:val="FooterChar"/>
    <w:rsid w:val="00327D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27DF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oSpacing">
    <w:name w:val="No Spacing"/>
    <w:uiPriority w:val="1"/>
    <w:qFormat/>
    <w:rsid w:val="00327D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Vidojević</dc:creator>
  <cp:keywords/>
  <dc:description/>
  <cp:lastModifiedBy>Daktilobiro02</cp:lastModifiedBy>
  <cp:revision>6</cp:revision>
  <dcterms:created xsi:type="dcterms:W3CDTF">2023-07-13T08:50:00Z</dcterms:created>
  <dcterms:modified xsi:type="dcterms:W3CDTF">2023-07-19T09:59:00Z</dcterms:modified>
</cp:coreProperties>
</file>